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电子商务与快递物流协同发展典型经验总结表</w:t>
      </w:r>
    </w:p>
    <w:p/>
    <w:p/>
    <w:tbl>
      <w:tblPr>
        <w:tblW w:w="14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811"/>
        <w:gridCol w:w="4253"/>
        <w:gridCol w:w="3118"/>
        <w:gridCol w:w="2977"/>
      </w:tblGrid>
      <w:tr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主要任务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具体内容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主要做法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工作成效</w:t>
            </w:r>
          </w:p>
        </w:tc>
      </w:tr>
      <w:t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81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333333"/>
                <w:sz w:val="24"/>
                <w:szCs w:val="24"/>
              </w:rPr>
              <w:t>优化协同发展环境</w:t>
            </w: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实施快递末端网点备案。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明确智能快件箱、快递末端综合服务场所公共属性，提供政策支持。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指导行业协会发挥自律作用。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……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281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333333"/>
                <w:sz w:val="24"/>
                <w:szCs w:val="24"/>
              </w:rPr>
              <w:t>完善电子商务快递物流基础设施</w:t>
            </w: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科学引导快递物流基础设施建设，将智能快件箱、快递末端综合服务场所纳入公共服务设施相关规划，保障电子商务快递物流基础设施用地。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健全农村寄递物流体系。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加强国家电子商务示范基地、快递物流园区建设，引导国家电子商务示范基地、电子商务产业园区与快递物流园区融合发展。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……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81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333333"/>
                <w:sz w:val="24"/>
                <w:szCs w:val="24"/>
              </w:rPr>
              <w:t>优化电子商务配送通行管理</w:t>
            </w: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规范快递服务车辆（包括货车、电动三轮车、两轮车）运营管理，推动配送车辆标准化、厢式化。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完善城市配送车辆通行管理政策。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完善城市配送车辆停靠、装卸、充电等设施。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……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81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333333"/>
                <w:sz w:val="24"/>
                <w:szCs w:val="24"/>
              </w:rPr>
              <w:t>提升快递末端服务能力</w:t>
            </w: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推广智能投递设施。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快递物流企业、电商企业在社区、校园等区域开展集约化配送情况。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快递企业之间开展联收联投合作情况。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……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81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333333"/>
                <w:sz w:val="24"/>
                <w:szCs w:val="24"/>
              </w:rPr>
              <w:t>提高协同运行效率</w:t>
            </w: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快递物流企业提高科技应用水平情况。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电商与快递物流企业推进库存前置、智能分仓、科学配载、线路优化，实现信息协同化、服务智能化情况。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快递物流信息综合服务平台建设情况。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发展智能仓储、仓配一体化服务，提高电商企业与快递物流企业供应链协同效率情况。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推动快递与电子商务数据互联互通。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81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333333"/>
                <w:sz w:val="24"/>
                <w:szCs w:val="24"/>
              </w:rPr>
              <w:t>推动绿色发展</w:t>
            </w: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推进快递包装绿色治理。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推广新能源车辆。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推动电商企业包装减量，鼓励电子商务平台开展绿色消费活动，探索包装回收和循环利用。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vAlign w:val="top"/>
          </w:tcPr>
          <w:p>
            <w:pPr>
              <w:rPr>
                <w:rFonts w:ascii="仿宋_GB2312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……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 Char"/>
    <w:basedOn w:val="5"/>
    <w:link w:val="4"/>
    <w:uiPriority w:val="99"/>
    <w:rPr>
      <w:sz w:val="18"/>
      <w:szCs w:val="18"/>
    </w:rPr>
  </w:style>
  <w:style w:type="character" w:customStyle="1" w:styleId="7">
    <w:name w:val="页脚 Char Char"/>
    <w:basedOn w:val="5"/>
    <w:link w:val="3"/>
    <w:uiPriority w:val="99"/>
    <w:rPr>
      <w:sz w:val="18"/>
      <w:szCs w:val="18"/>
    </w:rPr>
  </w:style>
  <w:style w:type="character" w:customStyle="1" w:styleId="8">
    <w:name w:val="批注框文本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668</Characters>
  <Lines>5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2020-03-14T16:31:00Z</dcterms:created>
  <dc:creator>user</dc:creator>
  <cp:lastModifiedBy>goveditor</cp:lastModifiedBy>
  <cp:lastPrinted>2020-04-17T08:30:00Z</cp:lastPrinted>
  <dcterms:modified xsi:type="dcterms:W3CDTF">2020-04-21T06:28:37Z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