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974" w:rsidRDefault="00755974" w:rsidP="00755974">
      <w:pPr>
        <w:widowControl/>
        <w:spacing w:line="560" w:lineRule="exact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附件1</w:t>
      </w:r>
    </w:p>
    <w:p w:rsidR="00755974" w:rsidRDefault="00755974" w:rsidP="00755974">
      <w:pPr>
        <w:spacing w:line="560" w:lineRule="exact"/>
        <w:jc w:val="center"/>
        <w:rPr>
          <w:rFonts w:ascii="方正小标宋_GBK" w:eastAsia="方正小标宋_GBK" w:hAnsi="黑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ascii="方正小标宋_GBK" w:eastAsia="方正小标宋_GBK" w:hAnsi="黑体" w:cs="宋体" w:hint="eastAsia"/>
          <w:color w:val="000000"/>
          <w:kern w:val="0"/>
          <w:sz w:val="44"/>
          <w:szCs w:val="44"/>
        </w:rPr>
        <w:t>深圳市品牌展会认定指标体系</w:t>
      </w:r>
    </w:p>
    <w:bookmarkEnd w:id="0"/>
    <w:p w:rsidR="00755974" w:rsidRDefault="00755974" w:rsidP="00755974">
      <w:pPr>
        <w:spacing w:line="560" w:lineRule="exact"/>
        <w:rPr>
          <w:color w:val="000000"/>
          <w:szCs w:val="22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708"/>
        <w:gridCol w:w="2127"/>
        <w:gridCol w:w="740"/>
        <w:gridCol w:w="5012"/>
      </w:tblGrid>
      <w:tr w:rsidR="00755974" w:rsidTr="00775FDB">
        <w:trPr>
          <w:trHeight w:val="56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jc w:val="center"/>
              <w:rPr>
                <w:rFonts w:ascii="仿宋_GB2312" w:eastAsia="仿宋_GB2312" w:hAnsi="黑体"/>
                <w:b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color w:val="000000"/>
                <w:szCs w:val="21"/>
              </w:rPr>
              <w:t>一级指标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jc w:val="center"/>
              <w:rPr>
                <w:rFonts w:ascii="仿宋_GB2312" w:eastAsia="仿宋_GB2312" w:hAnsi="黑体"/>
                <w:b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color w:val="000000"/>
                <w:szCs w:val="21"/>
              </w:rPr>
              <w:t>权重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jc w:val="center"/>
              <w:rPr>
                <w:rFonts w:ascii="仿宋_GB2312" w:eastAsia="仿宋_GB2312" w:hAnsi="黑体"/>
                <w:b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color w:val="000000"/>
                <w:szCs w:val="21"/>
              </w:rPr>
              <w:t>二级指标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jc w:val="center"/>
              <w:rPr>
                <w:rFonts w:ascii="仿宋_GB2312" w:eastAsia="仿宋_GB2312" w:hAnsi="黑体"/>
                <w:b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color w:val="000000"/>
                <w:szCs w:val="21"/>
              </w:rPr>
              <w:t>权重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jc w:val="center"/>
              <w:rPr>
                <w:rFonts w:ascii="仿宋_GB2312" w:eastAsia="仿宋_GB2312" w:hAnsi="黑体"/>
                <w:b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color w:val="000000"/>
                <w:szCs w:val="21"/>
              </w:rPr>
              <w:t>分值计算</w:t>
            </w:r>
          </w:p>
        </w:tc>
      </w:tr>
      <w:tr w:rsidR="00755974" w:rsidTr="00775FDB">
        <w:trPr>
          <w:trHeight w:val="567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展览规模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展览总面积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0.20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40000平方米开始计分,每增加5000平方米增加2分</w:t>
            </w:r>
          </w:p>
        </w:tc>
      </w:tr>
      <w:tr w:rsidR="00755974" w:rsidTr="00775FDB">
        <w:trPr>
          <w:trHeight w:val="567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widowControl/>
              <w:jc w:val="lef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展览净面积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0.30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15000平方米开始计分,每增加2500平方米增加2分</w:t>
            </w:r>
          </w:p>
        </w:tc>
      </w:tr>
      <w:tr w:rsidR="00755974" w:rsidTr="00775FDB">
        <w:trPr>
          <w:trHeight w:val="567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widowControl/>
              <w:jc w:val="lef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境外参展商展览净面积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0.30（二选一）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750平方米开始计分, 每增加300平方米增加3分</w:t>
            </w:r>
          </w:p>
        </w:tc>
      </w:tr>
      <w:tr w:rsidR="00755974" w:rsidTr="00775FDB">
        <w:trPr>
          <w:trHeight w:val="567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widowControl/>
              <w:jc w:val="lef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境外参展商展览净面积比例</w:t>
            </w: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所占的比例达5%开始计分,每增加2%增加3分</w:t>
            </w:r>
          </w:p>
        </w:tc>
      </w:tr>
      <w:tr w:rsidR="00755974" w:rsidTr="00775FDB">
        <w:trPr>
          <w:trHeight w:val="567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widowControl/>
              <w:jc w:val="lef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特装展览面积比例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0.10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所占的比例达30%开始计分,每增加5%增加3分</w:t>
            </w:r>
          </w:p>
        </w:tc>
      </w:tr>
      <w:tr w:rsidR="00755974" w:rsidTr="00775FDB">
        <w:trPr>
          <w:trHeight w:val="567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widowControl/>
              <w:jc w:val="lef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展览会营业收入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0.10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2000万元开始计分，每增加100万元增加1分</w:t>
            </w:r>
          </w:p>
        </w:tc>
      </w:tr>
      <w:tr w:rsidR="00755974" w:rsidTr="00775FDB">
        <w:trPr>
          <w:trHeight w:val="567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参展商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0.15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参展商总数量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0.25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300个展商开始计分,每增加100个增加2分</w:t>
            </w:r>
          </w:p>
        </w:tc>
      </w:tr>
      <w:tr w:rsidR="00755974" w:rsidTr="00775FDB">
        <w:trPr>
          <w:trHeight w:val="567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widowControl/>
              <w:jc w:val="lef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境外参展商的数量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0.15（二选一）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境外参展商的数量10个开始计分,每增加10个增3加分</w:t>
            </w:r>
          </w:p>
        </w:tc>
      </w:tr>
      <w:tr w:rsidR="00755974" w:rsidTr="00775FDB">
        <w:trPr>
          <w:trHeight w:val="567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widowControl/>
              <w:jc w:val="lef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境外参展商的数量比例</w:t>
            </w: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境外参展商的数量占总数1%开始计分,每增加1%增3加分</w:t>
            </w:r>
          </w:p>
        </w:tc>
      </w:tr>
      <w:tr w:rsidR="00755974" w:rsidTr="00775FDB">
        <w:trPr>
          <w:trHeight w:val="567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widowControl/>
              <w:jc w:val="lef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境外参展商所代表的地区数量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0.15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参展商所代表的国家及港澳台数,从1个开始计分,每增加1个增加1分</w:t>
            </w:r>
          </w:p>
        </w:tc>
      </w:tr>
      <w:tr w:rsidR="00755974" w:rsidTr="00775FDB">
        <w:trPr>
          <w:trHeight w:val="567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widowControl/>
              <w:jc w:val="lef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境内参展商所代表的地区数量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0.15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境内参展商所代表的地区数,从1个开始计分,每增加1个增加1分</w:t>
            </w:r>
          </w:p>
        </w:tc>
      </w:tr>
      <w:tr w:rsidR="00755974" w:rsidTr="00775FDB">
        <w:trPr>
          <w:trHeight w:val="567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widowControl/>
              <w:jc w:val="lef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龙头企业数量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0.15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1个开始计分，每增加1个世界500强企业增加2.5分；每增加一个中国500强企业增加1.5分；每增加1个广东省500强企业增加1分；每增加1个上市公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司增加1分。</w:t>
            </w:r>
          </w:p>
        </w:tc>
      </w:tr>
      <w:tr w:rsidR="00755974" w:rsidTr="00775FDB">
        <w:trPr>
          <w:trHeight w:val="567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widowControl/>
              <w:jc w:val="lef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最近三届展览会连续参展比例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0.15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40%开始计分，每增加10%增加3分</w:t>
            </w:r>
          </w:p>
        </w:tc>
      </w:tr>
      <w:tr w:rsidR="00755974" w:rsidTr="00775FDB">
        <w:trPr>
          <w:trHeight w:val="567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专业观众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0.15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专业观众数量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0.20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3000个专业观众开始计分,每增加3000个增加2分</w:t>
            </w:r>
          </w:p>
        </w:tc>
      </w:tr>
      <w:tr w:rsidR="00755974" w:rsidTr="00775FDB">
        <w:trPr>
          <w:trHeight w:val="567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widowControl/>
              <w:jc w:val="lef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观众密度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0.15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0.5人/平方米开始计分，每增加1%增加2分</w:t>
            </w:r>
          </w:p>
        </w:tc>
      </w:tr>
      <w:tr w:rsidR="00755974" w:rsidTr="00775FDB">
        <w:trPr>
          <w:trHeight w:val="567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widowControl/>
              <w:jc w:val="lef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深圳之外专业观众比例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0.10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深圳之外专业观众比例2.5%开始计分,每增加2.5%增加2分</w:t>
            </w:r>
          </w:p>
        </w:tc>
      </w:tr>
      <w:tr w:rsidR="00755974" w:rsidTr="00775FDB">
        <w:trPr>
          <w:trHeight w:val="567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widowControl/>
              <w:jc w:val="lef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境外专业观众数量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0.15（二选一）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100个开始计分,每增加5个增加3分</w:t>
            </w:r>
          </w:p>
        </w:tc>
      </w:tr>
      <w:tr w:rsidR="00755974" w:rsidTr="00775FDB">
        <w:trPr>
          <w:trHeight w:val="567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widowControl/>
              <w:jc w:val="lef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境外专业观众数量比例</w:t>
            </w: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境外观众比例占总数0.5%开始计分,每增加0.5%增加3分</w:t>
            </w:r>
          </w:p>
        </w:tc>
      </w:tr>
      <w:tr w:rsidR="00755974" w:rsidTr="00775FDB">
        <w:trPr>
          <w:trHeight w:val="567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widowControl/>
              <w:jc w:val="lef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境外专业观众所代表国家数量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0.15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境外专业观众所代表的国家及港澳台数,从1个开始计分,每增加2个增加1分</w:t>
            </w:r>
          </w:p>
        </w:tc>
      </w:tr>
      <w:tr w:rsidR="00755974" w:rsidTr="00775FDB">
        <w:trPr>
          <w:trHeight w:val="567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widowControl/>
              <w:jc w:val="lef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境内专业观众所代表地区数量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0.10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境内专业观众所代表的地区数,从1个开始计分,每增加2个增加1分</w:t>
            </w:r>
          </w:p>
        </w:tc>
      </w:tr>
      <w:tr w:rsidR="00755974" w:rsidTr="00775FDB">
        <w:trPr>
          <w:trHeight w:val="567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widowControl/>
              <w:jc w:val="lef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最近三届连续观展比例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0.15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40%开始计分，每增加10%增加2分</w:t>
            </w:r>
          </w:p>
        </w:tc>
      </w:tr>
      <w:tr w:rsidR="00755974" w:rsidTr="00775FDB">
        <w:trPr>
          <w:trHeight w:val="567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品牌建设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0.15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行业排名（前5）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0.30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世界排名3-15分，亚洲2-10分，中国1-5分（以企业申报，评审专家认定，择优选一项评分标准）</w:t>
            </w:r>
          </w:p>
        </w:tc>
      </w:tr>
      <w:tr w:rsidR="00755974" w:rsidTr="00775FDB">
        <w:trPr>
          <w:trHeight w:val="567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widowControl/>
              <w:jc w:val="lef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UFI认证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0.10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已认证计3分，未认证不计分。</w:t>
            </w:r>
          </w:p>
        </w:tc>
      </w:tr>
      <w:tr w:rsidR="00755974" w:rsidTr="00775FDB">
        <w:trPr>
          <w:trHeight w:val="567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widowControl/>
              <w:jc w:val="lef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到场媒体数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0.10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媒体的数量从2个开始计分,每增加2个增加1分</w:t>
            </w:r>
          </w:p>
        </w:tc>
      </w:tr>
      <w:tr w:rsidR="00755974" w:rsidTr="00775FDB">
        <w:trPr>
          <w:trHeight w:val="567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widowControl/>
              <w:jc w:val="lef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产业匹配度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0.20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1-5分，评审专家参照《深圳市产业结构调整优化和产业导向目录》进行评定。</w:t>
            </w:r>
          </w:p>
        </w:tc>
      </w:tr>
      <w:tr w:rsidR="00755974" w:rsidTr="00775FDB">
        <w:trPr>
          <w:trHeight w:val="567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widowControl/>
              <w:jc w:val="lef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专业论坛数量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0.20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展览中进行与展览主题一致的专业论坛每一个计1分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（以评审专家认定为准）</w:t>
            </w:r>
          </w:p>
        </w:tc>
      </w:tr>
      <w:tr w:rsidR="00755974" w:rsidTr="00775FDB">
        <w:trPr>
          <w:trHeight w:val="567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widowControl/>
              <w:jc w:val="lef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其它相关活动数量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0.10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展览中进行与展览主题相关的活动数量达3个开始计分,每增加1个增加1分（以评审专家认定为准）</w:t>
            </w:r>
          </w:p>
        </w:tc>
      </w:tr>
      <w:tr w:rsidR="00755974" w:rsidTr="00775FDB">
        <w:trPr>
          <w:trHeight w:val="567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城市贡献度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0.15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在深圳连续办展届数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0.50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1届开始计分，每增加1届增加1分</w:t>
            </w:r>
          </w:p>
        </w:tc>
      </w:tr>
      <w:tr w:rsidR="00755974" w:rsidTr="00775FDB">
        <w:trPr>
          <w:trHeight w:val="567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widowControl/>
              <w:jc w:val="lef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申请企业在深圳纳税年限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0.25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纳税超过1年开始计分，每增加一年增加1分。</w:t>
            </w:r>
          </w:p>
        </w:tc>
      </w:tr>
      <w:tr w:rsidR="00755974" w:rsidTr="00775FDB">
        <w:trPr>
          <w:trHeight w:val="567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widowControl/>
              <w:jc w:val="lef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深圳企业参展比例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0.25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深圳参展商占总参展商比例5%开始计分,每增加5%增加2分</w:t>
            </w:r>
          </w:p>
        </w:tc>
      </w:tr>
      <w:tr w:rsidR="00755974" w:rsidTr="00775FDB">
        <w:trPr>
          <w:trHeight w:val="567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信息化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同期举办线上展览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0.50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有则计3分，无则不计分</w:t>
            </w:r>
          </w:p>
        </w:tc>
      </w:tr>
      <w:tr w:rsidR="00755974" w:rsidTr="00775FDB">
        <w:trPr>
          <w:trHeight w:val="567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widowControl/>
              <w:jc w:val="lef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运用信息化手段服务展商和观众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0.25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有则计2分，无则不计分</w:t>
            </w:r>
          </w:p>
        </w:tc>
      </w:tr>
      <w:tr w:rsidR="00755974" w:rsidTr="00775FDB">
        <w:trPr>
          <w:trHeight w:val="567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widowControl/>
              <w:jc w:val="lef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设立网站、app、小程序、公众号等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0.25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有则计2分，无则不计分</w:t>
            </w:r>
          </w:p>
        </w:tc>
      </w:tr>
      <w:tr w:rsidR="00755974" w:rsidTr="00775FDB">
        <w:trPr>
          <w:trHeight w:val="567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其它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绿色展装鼓励支持政策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0.20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申请人已制定并实施绿色展装鼓励支持政策，此项计5分。未制定，此项不计分。已制定的绿色展装鼓励支持政策是否符合绿色要求，以评审专家多数意见认定为准。</w:t>
            </w:r>
          </w:p>
        </w:tc>
      </w:tr>
      <w:tr w:rsidR="00755974" w:rsidTr="00775FDB">
        <w:trPr>
          <w:trHeight w:val="567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widowControl/>
              <w:jc w:val="lef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展台销售均价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0.20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800元/每平方米开始计分，每增加100元/每平方米增加1分</w:t>
            </w:r>
          </w:p>
        </w:tc>
      </w:tr>
      <w:tr w:rsidR="00755974" w:rsidTr="00775FDB">
        <w:trPr>
          <w:trHeight w:val="567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widowControl/>
              <w:jc w:val="lef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赞助商数量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0.20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1个赞助商开始计分，每增1个增加1分</w:t>
            </w:r>
          </w:p>
        </w:tc>
      </w:tr>
      <w:tr w:rsidR="00755974" w:rsidTr="00775FDB">
        <w:trPr>
          <w:trHeight w:val="567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widowControl/>
              <w:jc w:val="lef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设立应急预案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0.20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有则计5分，无则不计分</w:t>
            </w:r>
          </w:p>
        </w:tc>
      </w:tr>
      <w:tr w:rsidR="00755974" w:rsidTr="00775FDB">
        <w:trPr>
          <w:trHeight w:val="567"/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widowControl/>
              <w:jc w:val="lef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与参展商签署《知识产权不侵权承诺书》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0.20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74" w:rsidRDefault="00755974" w:rsidP="00775FDB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有则计5分，无则不计分</w:t>
            </w:r>
          </w:p>
        </w:tc>
      </w:tr>
    </w:tbl>
    <w:p w:rsidR="00E844B6" w:rsidRDefault="00755974">
      <w:r>
        <w:rPr>
          <w:color w:val="000000"/>
        </w:rPr>
        <w:br w:type="page"/>
      </w:r>
    </w:p>
    <w:sectPr w:rsidR="00E84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AD9" w:rsidRDefault="00665AD9" w:rsidP="00755974">
      <w:r>
        <w:separator/>
      </w:r>
    </w:p>
  </w:endnote>
  <w:endnote w:type="continuationSeparator" w:id="0">
    <w:p w:rsidR="00665AD9" w:rsidRDefault="00665AD9" w:rsidP="0075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AD9" w:rsidRDefault="00665AD9" w:rsidP="00755974">
      <w:r>
        <w:separator/>
      </w:r>
    </w:p>
  </w:footnote>
  <w:footnote w:type="continuationSeparator" w:id="0">
    <w:p w:rsidR="00665AD9" w:rsidRDefault="00665AD9" w:rsidP="00755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602"/>
    <w:rsid w:val="00216602"/>
    <w:rsid w:val="00665AD9"/>
    <w:rsid w:val="00755974"/>
    <w:rsid w:val="007B5D01"/>
    <w:rsid w:val="00B2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4A649D-AA4F-478D-AB0D-C30412AF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97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5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59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59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59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贤军</dc:creator>
  <cp:keywords/>
  <dc:description/>
  <cp:lastModifiedBy>胡 贤军</cp:lastModifiedBy>
  <cp:revision>2</cp:revision>
  <dcterms:created xsi:type="dcterms:W3CDTF">2020-12-24T08:38:00Z</dcterms:created>
  <dcterms:modified xsi:type="dcterms:W3CDTF">2020-12-24T08:38:00Z</dcterms:modified>
</cp:coreProperties>
</file>